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6b" w:val="clear"/>
            <w:tcMar>
              <w:top w:w="600.0" w:type="dxa"/>
              <w:left w:w="400.0" w:type="dxa"/>
              <w:bottom w:w="600.0" w:type="dxa"/>
              <w:right w:w="400.0" w:type="dxa"/>
            </w:tcMar>
          </w:tcPr>
          <w:p w:rsidR="00000000" w:rsidDel="00000000" w:rsidP="00000000" w:rsidRDefault="00000000" w:rsidRPr="00000000" w14:paraId="00000002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sz w:val="56"/>
                <w:szCs w:val="56"/>
                <w:rtl w:val="0"/>
              </w:rPr>
              <w:t xml:space="preserve">CLINICAL CASE GENERATOR PROMPT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March 2026</w:t>
            </w:r>
          </w:p>
          <w:p w:rsidR="00000000" w:rsidDel="00000000" w:rsidP="00000000" w:rsidRDefault="00000000" w:rsidRPr="00000000" w14:paraId="00000004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Machelle Linsenmeyer, EdD, FNAOME, Vice President for Institutional Effectiveness and Chief Information Officer, West Virginia School of Osteopathic Medicine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befor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Rule="auto"/>
        <w:jc w:val="center"/>
        <w:rPr/>
      </w:pPr>
      <w:r w:rsidDel="00000000" w:rsidR="00000000" w:rsidRPr="00000000">
        <w:rPr>
          <w:color w:val="444444"/>
          <w:rtl w:val="0"/>
        </w:rPr>
        <w:t xml:space="preserve">This guide equips faculty with ready-to-use prompts, customizable templates, and practical guidance for leveraging AI tools in the creation of one or more clinical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"/>
        <w:gridCol w:w="9900"/>
        <w:tblGridChange w:id="0">
          <w:tblGrid>
            <w:gridCol w:w="180"/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888888" w:space="0" w:sz="20" w:val="single"/>
              <w:bottom w:color="cccccc" w:space="0" w:sz="4" w:val="single"/>
              <w:right w:color="000000" w:space="0" w:sz="0" w:val="nil"/>
            </w:tcBorders>
            <w:shd w:fill="88888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888888"/>
                <w:sz w:val="18"/>
                <w:szCs w:val="18"/>
                <w:rtl w:val="0"/>
              </w:rPr>
              <w:t xml:space="preserve">AI DISCLOSURE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sz w:val="18"/>
                <w:szCs w:val="18"/>
                <w:rtl w:val="0"/>
              </w:rPr>
              <w:t xml:space="preserve">This document was originally authored by the author and subsequently refined using Claude (claude-sonnet-4-6), an AI assistant developed by Anthropic. AI assistance was used to improve structure, formatting, and readability. All content has been reviewed and approved by author.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AI Tool: </w:t>
            </w:r>
            <w:r w:rsidDel="00000000" w:rsidR="00000000" w:rsidRPr="00000000">
              <w:rPr>
                <w:rFonts w:ascii="Calibri" w:cs="Calibri" w:eastAsia="Calibri" w:hAnsi="Calibri"/>
                <w:color w:val="777777"/>
                <w:sz w:val="18"/>
                <w:szCs w:val="18"/>
                <w:rtl w:val="0"/>
              </w:rPr>
              <w:t xml:space="preserve">Claude Sonnet 4.6 (Anthropic)   |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Date Refined: </w:t>
            </w:r>
            <w:r w:rsidDel="00000000" w:rsidR="00000000" w:rsidRPr="00000000">
              <w:rPr>
                <w:rFonts w:ascii="Calibri" w:cs="Calibri" w:eastAsia="Calibri" w:hAnsi="Calibri"/>
                <w:color w:val="777777"/>
                <w:sz w:val="18"/>
                <w:szCs w:val="18"/>
                <w:rtl w:val="0"/>
              </w:rPr>
              <w:t xml:space="preserve">March 21,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color w:val="ffffff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1f3864" w:val="clear"/>
        <w:jc w:val="center"/>
        <w:rPr/>
      </w:pPr>
      <w:r w:rsidDel="00000000" w:rsidR="00000000" w:rsidRPr="00000000">
        <w:rPr>
          <w:b w:val="1"/>
          <w:bCs w:val="1"/>
          <w:color w:val="ffffff"/>
          <w:sz w:val="44"/>
          <w:szCs w:val="44"/>
          <w:rtl w:val="0"/>
        </w:rPr>
        <w:t xml:space="preserve">CLINICAL CASE GENERATOR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1f3864" w:val="clear"/>
        <w:jc w:val="center"/>
        <w:rPr/>
      </w:pPr>
      <w:r w:rsidDel="00000000" w:rsidR="00000000" w:rsidRPr="00000000">
        <w:rPr>
          <w:i w:val="1"/>
          <w:iCs w:val="1"/>
          <w:color w:val="bdd7ee"/>
          <w:sz w:val="28"/>
          <w:szCs w:val="28"/>
          <w:rtl w:val="0"/>
        </w:rPr>
        <w:t xml:space="preserve">Multi-Case Generation Edition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/>
      </w:pPr>
      <w:r w:rsidDel="00000000" w:rsidR="00000000" w:rsidRPr="00000000">
        <w:rPr/>
        <w:drawing>
          <wp:inline distB="114300" distT="114300" distL="114300" distR="114300">
            <wp:extent cx="6400800" cy="118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2e75b6" w:space="0" w:sz="6" w:val="single"/>
          <w:left w:color="2e75b6" w:space="0" w:sz="6" w:val="single"/>
          <w:bottom w:color="2e75b6" w:space="0" w:sz="6" w:val="single"/>
          <w:right w:color="2e75b6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6" w:val="single"/>
              <w:left w:color="2e75b6" w:space="0" w:sz="18" w:val="single"/>
              <w:bottom w:color="2e75b6" w:space="0" w:sz="6" w:val="single"/>
              <w:right w:color="2e75b6" w:space="0" w:sz="4" w:val="single"/>
            </w:tcBorders>
            <w:shd w:fill="deeaf1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2">
            <w:pPr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1"/>
                <w:szCs w:val="21"/>
                <w:rtl w:val="0"/>
              </w:rPr>
              <w:t xml:space="preserve">HOW TO USE THIS DOCUMENT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9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00"/>
              <w:gridCol w:w="6760"/>
              <w:tblGridChange w:id="0">
                <w:tblGrid>
                  <w:gridCol w:w="2200"/>
                  <w:gridCol w:w="67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eeaf1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3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1f3864"/>
                      <w:rtl w:val="0"/>
                    </w:rPr>
                    <w:t xml:space="preserve">STEP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sz w:val="19"/>
                      <w:szCs w:val="19"/>
                      <w:rtl w:val="0"/>
                    </w:rPr>
                    <w:t xml:space="preserve">Complete the Pre-Prompt Worksheet (Page 1)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eeaf1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5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1f3864"/>
                      <w:rtl w:val="0"/>
                    </w:rPr>
                    <w:t xml:space="preserve">STEP 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6">
                  <w:pPr>
                    <w:rPr/>
                  </w:pPr>
                  <w:r w:rsidDel="00000000" w:rsidR="00000000" w:rsidRPr="00000000">
                    <w:rPr>
                      <w:sz w:val="19"/>
                      <w:szCs w:val="19"/>
                      <w:rtl w:val="0"/>
                    </w:rPr>
                    <w:t xml:space="preserve">Edit the yellow-highlighted fields in the Prompt Template (Page 2)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eeaf1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7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1f3864"/>
                      <w:rtl w:val="0"/>
                    </w:rPr>
                    <w:t xml:space="preserve">STEP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18">
                  <w:pPr>
                    <w:rPr/>
                  </w:pPr>
                  <w:r w:rsidDel="00000000" w:rsidR="00000000" w:rsidRPr="00000000">
                    <w:rPr>
                      <w:sz w:val="19"/>
                      <w:szCs w:val="19"/>
                      <w:rtl w:val="0"/>
                    </w:rPr>
                    <w:t xml:space="preserve">Paste the completed prompt into your AI tool and review output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9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00"/>
              <w:gridCol w:w="2080"/>
              <w:gridCol w:w="4080"/>
              <w:tblGridChange w:id="0">
                <w:tblGrid>
                  <w:gridCol w:w="2800"/>
                  <w:gridCol w:w="2080"/>
                  <w:gridCol w:w="4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A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1f3864"/>
                      <w:sz w:val="19"/>
                      <w:szCs w:val="19"/>
                      <w:rtl w:val="0"/>
                    </w:rPr>
                    <w:t xml:space="preserve">COLOR KEY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d966" w:space="0" w:sz="4" w:val="single"/>
                    <w:left w:color="ffd966" w:space="0" w:sz="4" w:val="single"/>
                    <w:bottom w:color="ffd966" w:space="0" w:sz="4" w:val="single"/>
                    <w:right w:color="ffd966" w:space="0" w:sz="4" w:val="single"/>
                  </w:tcBorders>
                  <w:shd w:fill="fff2cc" w:val="clear"/>
                  <w:tcMar>
                    <w:top w:w="60.0" w:type="dxa"/>
                    <w:left w:w="100.0" w:type="dxa"/>
                    <w:bottom w:w="60.0" w:type="dxa"/>
                    <w:right w:w="100.0" w:type="dxa"/>
                  </w:tcMar>
                </w:tcPr>
                <w:p w:rsidR="00000000" w:rsidDel="00000000" w:rsidP="00000000" w:rsidRDefault="00000000" w:rsidRPr="00000000" w14:paraId="0000001B">
                  <w:pPr>
                    <w:rPr/>
                  </w:pPr>
                  <w:r w:rsidDel="00000000" w:rsidR="00000000" w:rsidRPr="00000000">
                    <w:rPr>
                      <w:i w:val="1"/>
                      <w:iCs w:val="1"/>
                      <w:color w:val="8b6914"/>
                      <w:sz w:val="19"/>
                      <w:szCs w:val="19"/>
                      <w:rtl w:val="0"/>
                    </w:rPr>
                    <w:t xml:space="preserve">Yellow fields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100.0" w:type="dxa"/>
                    <w:bottom w:w="60.0" w:type="dxa"/>
                    <w:right w:w="0.0" w:type="dxa"/>
                  </w:tcMar>
                </w:tcPr>
                <w:p w:rsidR="00000000" w:rsidDel="00000000" w:rsidP="00000000" w:rsidRDefault="00000000" w:rsidRPr="00000000" w14:paraId="0000001C">
                  <w:pPr>
                    <w:rPr/>
                  </w:pPr>
                  <w:r w:rsidDel="00000000" w:rsidR="00000000" w:rsidRPr="00000000">
                    <w:rPr>
                      <w:sz w:val="19"/>
                      <w:szCs w:val="19"/>
                      <w:rtl w:val="0"/>
                    </w:rPr>
                    <w:t xml:space="preserve">= Edit these — your specific inputs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spacing w:before="40" w:lineRule="auto"/>
              <w:ind w:left="2800" w:firstLine="0"/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Gray/white boxes = Instructional guidance for you — do not paste into 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1f3864" w:val="clear"/>
        <w:spacing w:after="120" w:before="240" w:lineRule="auto"/>
        <w:ind w:left="180" w:right="180" w:firstLine="0"/>
        <w:rPr/>
      </w:pPr>
      <w:r w:rsidDel="00000000" w:rsidR="00000000" w:rsidRPr="00000000">
        <w:rPr>
          <w:b w:val="1"/>
          <w:bCs w:val="1"/>
          <w:color w:val="ffffff"/>
          <w:sz w:val="36"/>
          <w:szCs w:val="36"/>
          <w:rtl w:val="0"/>
        </w:rPr>
        <w:t xml:space="preserve">PART 1  |  Pre-Prompt Worksheet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0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Complete this worksheet before editing the prompt. It acts as a pre-flight checklist to reduce errors, rework, and misalignment between your instructional intent and AI output.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A  |  Core Faculty Inputs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Items marked with ★ should rarely be left blank.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b w:val="1"/>
          <w:bCs w:val="1"/>
          <w:rtl w:val="0"/>
        </w:rPr>
        <w:t xml:space="preserve">Core Topic / Intended Diagnosis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(revealed only in Section G — do not embed in case title or narrative)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b w:val="1"/>
          <w:bCs w:val="1"/>
          <w:rtl w:val="0"/>
        </w:rPr>
        <w:t xml:space="preserve">★ Target Learner Level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(e.g., Preclerkship MS2, Clerkship,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Discipline(s) to Emphasize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e.g., Pharmacology, Clinical Reasoning, Physiology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Clinical Setting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should align with severity and learner level (e.g., ED vs. Outpatient)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Case Complexity — select one: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3400"/>
        <w:gridCol w:w="3760"/>
        <w:tblGridChange w:id="0">
          <w:tblGrid>
            <w:gridCol w:w="2200"/>
            <w:gridCol w:w="3400"/>
            <w:gridCol w:w="3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☐  Straightforward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Early preclinical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Classic presentation of a single disease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4b183" w:space="0" w:sz="4" w:val="single"/>
              <w:left w:color="f4b183" w:space="0" w:sz="4" w:val="single"/>
              <w:bottom w:color="f4b183" w:space="0" w:sz="4" w:val="single"/>
              <w:right w:color="f4b183" w:space="0" w:sz="4" w:val="single"/>
            </w:tcBorders>
            <w:shd w:fill="fce4d6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☐  Diagnostic Dilemma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Residents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Red herrings or atypical findings requiring advanced DDx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66cc" w:space="0" w:sz="4" w:val="single"/>
              <w:left w:color="9966cc" w:space="0" w:sz="4" w:val="single"/>
              <w:bottom w:color="9966cc" w:space="0" w:sz="4" w:val="single"/>
              <w:right w:color="9966cc" w:space="0" w:sz="4" w:val="single"/>
            </w:tcBorders>
            <w:shd w:fill="eae0f0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☐  Complex with Comorbidities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Late preclinical / early clerkship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Secondary conditions that complicate primary treatment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Patient Demographics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include only if clinically relevant (age, gender, ethnicity, history)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B  |  Pharmacology &amp;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b w:val="1"/>
          <w:bCs w:val="1"/>
          <w:rtl w:val="0"/>
        </w:rPr>
        <w:t xml:space="preserve">Pharmacological Content and Management Discussion selections are compatible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Quick-Reference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For Pharmacology, you must enter specific drug details OR enter "None"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197399535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Pharmacology = "None" → Management is limited to None or Non-pharmacologic only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-31892059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Pharmacology is blank + Strictly Source-Bound → AI uses only source-provided pharmacology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153978320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Pharmacology is blank + Clinically Augmented → AI generates standard starting dosages (e.g., Lisinopril 10mg PO daily)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Medication and management expectations must match learner level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C  |  Diagnostics &amp; Data Integrity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★ Diagnostic Data Requirements — select 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Full diagnostic data</w:t>
      </w:r>
    </w:p>
    <w:p w:rsidR="00000000" w:rsidDel="00000000" w:rsidP="00000000" w:rsidRDefault="00000000" w:rsidRPr="00000000" w14:paraId="00000043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Physical exam only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(no Section E — Diagnostic Results Table)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No labs or imaging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(no Section E — Diagnostic Results Table)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If "Physical exam only" or "No labs or imaging" is selected, verify the case discussion does not rely on omitted data</w:t>
      </w:r>
    </w:p>
    <w:p w:rsidR="00000000" w:rsidDel="00000000" w:rsidP="00000000" w:rsidRDefault="00000000" w:rsidRPr="00000000" w14:paraId="00000046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D  |  Optional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Learning Objectives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if left blank, AI will infer 2–3 objectives aligned with learner level and diagnosis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Estimated Discussion Time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adjusts case length and discussion depth (e.g., 20 / 45 / 60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Case Metadata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for version control — included in faculty section only; AI will not generate this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Case Metadata Example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Case Version or ID: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HF-ED-Case-02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Revision Date: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March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Course / Block / Clerkship: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Medicine Clerkship — Cardiology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E  |  Multi-Case Generation Parameters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Number of cases to generate</w:t>
      </w:r>
      <w:sdt>
        <w:sdtPr>
          <w:id w:val="66145784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666666"/>
              <w:sz w:val="18"/>
              <w:szCs w:val="18"/>
              <w:rtl w:val="0"/>
            </w:rPr>
            <w:t xml:space="preserve">  — enter an integer ≥ 1; default = 1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Case Generation Mode — select one: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12" w:val="single"/>
              <w:bottom w:color="2e75b6" w:space="0" w:sz="4" w:val="single"/>
              <w:right w:color="2e75b6" w:space="0" w:sz="4" w:val="single"/>
            </w:tcBorders>
            <w:shd w:fill="deeaf1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☐  Randomized within Constraints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Multiple unique cases that vary patient details, presentation, and findings while following all specified constraints.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12" w:val="single"/>
            </w:tcBorders>
            <w:shd w:fill="fff2cc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8b6914"/>
                <w:rtl w:val="0"/>
              </w:rPr>
              <w:t xml:space="preserve">☐  Systematic Variations on a Core Scenario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Multiple cases from the same core scenario with intentional variation to support comparison and discussion.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F  |  Source Data &amp; Generation Mode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Contextual Source Materials uploaded, pasted, or linked — or note "None"</w:t>
      </w:r>
    </w:p>
    <w:p w:rsidR="00000000" w:rsidDel="00000000" w:rsidP="00000000" w:rsidRDefault="00000000" w:rsidRPr="00000000" w14:paraId="00000058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59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Acceptable source formats: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PowerPoint text: export slides to outline, then paste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Guideline excerpts: paste the Treatment or Diagnosis section of a national guideline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Direct URLs to guideline text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Source Status — select 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Uploaded</w:t>
      </w:r>
    </w:p>
    <w:p w:rsidR="00000000" w:rsidDel="00000000" w:rsidP="00000000" w:rsidRDefault="00000000" w:rsidRPr="00000000" w14:paraId="00000060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Pasted / Linked</w:t>
      </w:r>
    </w:p>
    <w:p w:rsidR="00000000" w:rsidDel="00000000" w:rsidP="00000000" w:rsidRDefault="00000000" w:rsidRPr="00000000" w14:paraId="00000061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(AI will use widely accepted Clinical Practice Guidelines, 2024+ preferred)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Data Generation Mode — select one: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12" w:val="single"/>
              <w:bottom w:color="2e75b6" w:space="0" w:sz="4" w:val="single"/>
              <w:right w:color="2e75b6" w:space="0" w:sz="4" w:val="single"/>
            </w:tcBorders>
            <w:shd w:fill="deeaf1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☐  STRICTLY SOURCE-BOUND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AI does not infer or generate facts beyond provided materials. Missing data is flagged with brackets (e.g., "[Not specified in source]"). Used for high-stakes testing or specific departmental guidelines.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12" w:val="single"/>
            </w:tcBorders>
            <w:shd w:fill="e2efda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5c2e"/>
                <w:rtl w:val="0"/>
              </w:rPr>
              <w:t xml:space="preserve">☐  CLINICALLY AUGMENTED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i w:val="1"/>
                <w:iCs w:val="1"/>
                <w:color w:val="2d6a3f"/>
                <w:sz w:val="18"/>
                <w:szCs w:val="18"/>
                <w:rtl w:val="0"/>
              </w:rPr>
              <w:t xml:space="preserve">AI fills gaps with realistic, physiologically consistent values — acts as an expert Clinical Case Writer. Blank demographics will be logically generated to fit the diagnosis.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Red Herring: Yes / No</w:t>
      </w: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  — if diagnostics exclude labs/imaging, red herrings must come from history or physical exam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2e4057" w:space="0" w:sz="4" w:val="single"/>
        </w:pBdr>
        <w:shd w:fill="2e4057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G  |  Final Readiness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Blinding &amp; Assessment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Intended diagnosis is NOT revealed outside Section G (The Reveal)</w:t>
      </w:r>
    </w:p>
    <w:p w:rsidR="00000000" w:rsidDel="00000000" w:rsidP="00000000" w:rsidRDefault="00000000" w:rsidRPr="00000000" w14:paraId="0000006D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Case title and narrative are diagnosis-neutral</w:t>
      </w:r>
    </w:p>
    <w:p w:rsidR="00000000" w:rsidDel="00000000" w:rsidP="00000000" w:rsidRDefault="00000000" w:rsidRPr="00000000" w14:paraId="0000006E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No pathognomonic phrases, hallmark descriptors, or diagnostic shortcuts appear</w:t>
      </w:r>
    </w:p>
    <w:p w:rsidR="00000000" w:rsidDel="00000000" w:rsidP="00000000" w:rsidRDefault="00000000" w:rsidRPr="00000000" w14:paraId="0000006F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Equity &amp; Relevance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Patient demographics are included only if clinically relevant</w:t>
      </w:r>
    </w:p>
    <w:p w:rsidR="00000000" w:rsidDel="00000000" w:rsidP="00000000" w:rsidRDefault="00000000" w:rsidRPr="00000000" w14:paraId="00000071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No assumptions about risk, causation, or prevalence based solely on identity factors</w:t>
      </w:r>
    </w:p>
    <w:p w:rsidR="00000000" w:rsidDel="00000000" w:rsidP="00000000" w:rsidRDefault="00000000" w:rsidRPr="00000000" w14:paraId="00000072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Language is neutral, respectful, and learner-appropriate</w:t>
      </w:r>
    </w:p>
    <w:p w:rsidR="00000000" w:rsidDel="00000000" w:rsidP="00000000" w:rsidRDefault="00000000" w:rsidRPr="00000000" w14:paraId="00000073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Teaching &amp; Timing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Learning Objectives are provided OR intentionally left for AI inference</w:t>
      </w:r>
    </w:p>
    <w:p w:rsidR="00000000" w:rsidDel="00000000" w:rsidP="00000000" w:rsidRDefault="00000000" w:rsidRPr="00000000" w14:paraId="00000075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Estimated Discussion Time (if provided) aligns with case length and question depth</w:t>
      </w:r>
    </w:p>
    <w:p w:rsidR="00000000" w:rsidDel="00000000" w:rsidP="00000000" w:rsidRDefault="00000000" w:rsidRPr="00000000" w14:paraId="00000076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Discussion questions emphasize reasoning over recall</w:t>
      </w:r>
    </w:p>
    <w:p w:rsidR="00000000" w:rsidDel="00000000" w:rsidP="00000000" w:rsidRDefault="00000000" w:rsidRPr="00000000" w14:paraId="00000077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Final Sanity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Learner level aligns with case complexity</w:t>
      </w:r>
    </w:p>
    <w:p w:rsidR="00000000" w:rsidDel="00000000" w:rsidP="00000000" w:rsidRDefault="00000000" w:rsidRPr="00000000" w14:paraId="00000079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Pharmacology and management selections are compatible</w:t>
      </w:r>
    </w:p>
    <w:p w:rsidR="00000000" w:rsidDel="00000000" w:rsidP="00000000" w:rsidRDefault="00000000" w:rsidRPr="00000000" w14:paraId="0000007A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Lab values and vital signs are physiologically appropriate</w:t>
      </w:r>
    </w:p>
    <w:p w:rsidR="00000000" w:rsidDel="00000000" w:rsidP="00000000" w:rsidRDefault="00000000" w:rsidRPr="00000000" w14:paraId="0000007B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Diagnostic data supports learning objectives</w:t>
      </w:r>
    </w:p>
    <w:p w:rsidR="00000000" w:rsidDel="00000000" w:rsidP="00000000" w:rsidRDefault="00000000" w:rsidRPr="00000000" w14:paraId="0000007C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Blinding has been verified throughout all sections</w:t>
      </w:r>
    </w:p>
    <w:p w:rsidR="00000000" w:rsidDel="00000000" w:rsidP="00000000" w:rsidRDefault="00000000" w:rsidRPr="00000000" w14:paraId="0000007D">
      <w:pPr>
        <w:spacing w:after="80" w:before="80" w:lineRule="auto"/>
        <w:ind w:left="180" w:firstLine="0"/>
        <w:rPr/>
      </w:pPr>
      <w:r w:rsidDel="00000000" w:rsidR="00000000" w:rsidRPr="00000000">
        <w:rPr>
          <w:b w:val="1"/>
          <w:bCs w:val="1"/>
          <w:color w:val="2e75b6"/>
          <w:rtl w:val="0"/>
        </w:rPr>
        <w:t xml:space="preserve">☐  </w:t>
      </w:r>
      <w:r w:rsidDel="00000000" w:rsidR="00000000" w:rsidRPr="00000000">
        <w:rPr>
          <w:rtl w:val="0"/>
        </w:rPr>
        <w:t xml:space="preserve">Source mode matches instructional intent</w:t>
      </w:r>
    </w:p>
    <w:p w:rsidR="00000000" w:rsidDel="00000000" w:rsidP="00000000" w:rsidRDefault="00000000" w:rsidRPr="00000000" w14:paraId="0000007E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2e75b6" w:space="0" w:sz="6" w:val="single"/>
          <w:left w:color="2e75b6" w:space="0" w:sz="6" w:val="single"/>
          <w:bottom w:color="2e75b6" w:space="0" w:sz="6" w:val="single"/>
          <w:right w:color="2e75b6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6" w:val="single"/>
              <w:left w:color="2e75b6" w:space="0" w:sz="18" w:val="single"/>
              <w:bottom w:color="2e75b6" w:space="0" w:sz="6" w:val="single"/>
              <w:right w:color="2e75b6" w:space="0" w:sz="4" w:val="single"/>
            </w:tcBorders>
            <w:shd w:fill="deeaf1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7F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Output Expectation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Final output will be a printable Microsoft Word (.docx) document with standardized Sections A–G, including student-facing content and a faculty-only Reveal section.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1f3864" w:val="clear"/>
        <w:spacing w:after="120" w:before="240" w:lineRule="auto"/>
        <w:ind w:left="180" w:right="180" w:firstLine="0"/>
        <w:rPr/>
      </w:pPr>
      <w:r w:rsidDel="00000000" w:rsidR="00000000" w:rsidRPr="00000000">
        <w:rPr>
          <w:b w:val="1"/>
          <w:bCs w:val="1"/>
          <w:color w:val="ffffff"/>
          <w:sz w:val="36"/>
          <w:szCs w:val="36"/>
          <w:rtl w:val="0"/>
        </w:rPr>
        <w:t xml:space="preserve">PART 2  |  AI Prompt Template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2e75b6" w:space="0" w:sz="6" w:val="single"/>
          <w:left w:color="2e75b6" w:space="0" w:sz="6" w:val="single"/>
          <w:bottom w:color="2e75b6" w:space="0" w:sz="6" w:val="single"/>
          <w:right w:color="2e75b6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6" w:val="single"/>
              <w:left w:color="2e75b6" w:space="0" w:sz="18" w:val="single"/>
              <w:bottom w:color="2e75b6" w:space="0" w:sz="6" w:val="single"/>
              <w:right w:color="2e75b6" w:space="0" w:sz="4" w:val="single"/>
            </w:tcBorders>
            <w:shd w:fill="deeaf1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83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Instructions for Faculty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Complete Part 1 before editing this prompt.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Edit only the yellow-highlighted fields below. Remove the placeholder text and replace with your specific content.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Fields left blank signal the AI to generate content appropriate to learner level and case complexity.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When finished, copy everything from PROMPT START to PROMPT END and paste it into your AI tool.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 not paste the gray instructional boxes — they are for your reference only.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1f3864" w:space="1" w:sz="6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80" w:before="80" w:lineRule="auto"/>
        <w:rPr/>
      </w:pPr>
      <w:r w:rsidDel="00000000" w:rsidR="00000000" w:rsidRPr="00000000">
        <w:rPr>
          <w:b w:val="1"/>
          <w:bCs w:val="1"/>
          <w:color w:val="1f3864"/>
          <w:sz w:val="26"/>
          <w:szCs w:val="26"/>
          <w:rtl w:val="0"/>
        </w:rPr>
        <w:t xml:space="preserve">▶  PROMPT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bottom w:color="1f3864" w:space="0" w:sz="4" w:val="single"/>
        </w:pBdr>
        <w:shd w:fill="1f3864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80" w:lineRule="auto"/>
        <w:rPr/>
      </w:pPr>
      <w:r w:rsidDel="00000000" w:rsidR="00000000" w:rsidRPr="00000000">
        <w:rPr>
          <w:rtl w:val="0"/>
        </w:rPr>
        <w:t xml:space="preserve">You are an </w:t>
      </w:r>
      <w:r w:rsidDel="00000000" w:rsidR="00000000" w:rsidRPr="00000000">
        <w:rPr>
          <w:b w:val="1"/>
          <w:bCs w:val="1"/>
          <w:rtl w:val="0"/>
        </w:rPr>
        <w:t xml:space="preserve">expert Medical Education Consultant and Clinical Case Writer</w:t>
      </w:r>
      <w:r w:rsidDel="00000000" w:rsidR="00000000" w:rsidRPr="00000000">
        <w:rPr>
          <w:rtl w:val="0"/>
        </w:rPr>
        <w:t xml:space="preserve">. Your task is to generate </w:t>
      </w:r>
      <w:r w:rsidDel="00000000" w:rsidR="00000000" w:rsidRPr="00000000">
        <w:rPr>
          <w:b w:val="1"/>
          <w:bCs w:val="1"/>
          <w:rtl w:val="0"/>
        </w:rPr>
        <w:t xml:space="preserve">high-fidelity, realistic, student-facing, and printable clinical cases</w:t>
      </w:r>
      <w:r w:rsidDel="00000000" w:rsidR="00000000" w:rsidRPr="00000000">
        <w:rPr>
          <w:rtl w:val="0"/>
        </w:rPr>
        <w:t xml:space="preserve"> designed for medical education. The case(s) must support </w:t>
      </w:r>
      <w:r w:rsidDel="00000000" w:rsidR="00000000" w:rsidRPr="00000000">
        <w:rPr>
          <w:b w:val="1"/>
          <w:bCs w:val="1"/>
          <w:rtl w:val="0"/>
        </w:rPr>
        <w:t xml:space="preserve">clinical reasoning and discussion</w:t>
      </w:r>
      <w:r w:rsidDel="00000000" w:rsidR="00000000" w:rsidRPr="00000000">
        <w:rPr>
          <w:rtl w:val="0"/>
        </w:rPr>
        <w:t xml:space="preserve">, not real-world clinical decision-making.</w:t>
      </w:r>
    </w:p>
    <w:p w:rsidR="00000000" w:rsidDel="00000000" w:rsidP="00000000" w:rsidRDefault="00000000" w:rsidRPr="00000000" w14:paraId="0000008E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1  |  Faculty Input Section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Edit as Needed — Primary Constraints. Complete fields become mandatory constraints. Fields left blank signal the AI to generate content consistent with learner level, discipline, and case complexity.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Core Topic / Intended Diagnosis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Acute Exacerbation of COPD / Heart Failure]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Target Learner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Preclerkship MS2 / Clerkship Student / Resident]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Discipline(s) to Emphasize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Physiology, Biochemistry, Pharmacology, Clinical Reasoning]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Clinical Setting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Emergency Department / Outpatient Clinic / Hospital Admission]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Case Complexity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[Straightforward / Diagnostic Dilemma / Complex with Comorbidities]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Patient 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65-year-old male with 40 pack-year smoking history]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Pharmacological Content: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Pharmacological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[Specific drug names + routes + starting dosages  OR  enter "None"]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Management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[None / Non-pharmacologic only / High-level pharmacologic (no doses) / Full treatment recommendations]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Diagnostic Data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[Full diagnostic data / Physical exam only / No labs or imaging]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Learning Objectives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[e.g., Interpret ABGs in respiratory failure; Apply guideline-based management]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Estimated Discussion Time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[20 / 45 / 60 minutes]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A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Case Metadata (Optional — Faculty Only):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Case Version or ID: _______     Revision Date: _______     Course / Block / Clerkship: 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Case Metadata is for faculty reference and version control only. It must not influence case content unless explicitly specified elsewhere.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B0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Pharmacological Content Interpretation Rules (AI Instructions)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10644226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specific medications are entered → use exactly those medications, routes, and dosages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179002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"None" is entered → exclude all medications regardless of mode or sources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-196364934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blank + STRICTLY SOURCE-BOUND → include pharmacology only if present in source materials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-44442885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blank + CLINICALLY AUGMENTED → generate standard, evidence-based pharmacology appropriate to learner level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2  |  Multi-Case Generation Parameters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Required for multi-case output. Faculty-controlled.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Number of Cases to Generate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sdt>
              <w:sdtPr>
                <w:id w:val="119339638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color w:val="8b6914"/>
                    <w:sz w:val="18"/>
                    <w:szCs w:val="18"/>
                    <w:rtl w:val="0"/>
                  </w:rPr>
                  <w:t xml:space="preserve">[Enter an integer ≥ 1; default = 1]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Case Generation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[Randomized within Constraints  /  Systematic Variations on a Single Core Scenario]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BD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Variation Rules (Mandatory — AI Instructions)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Each case must be clearly distinct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All cases must independently comply with Faculty Input constraints, Source Data rules, and the Blinding Constraint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 not repeat identical vital signs, diagnostic values, chief complaint phrasing, or physical exam narratives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If a Red Herring is included, its form and location must differ across cases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Cases must be explicitly numbered: Case 1, Case 2, Case 3,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60" w:before="6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Output Requirement: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Generate each case as a complete, standalone document containing Sections A–G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Insert a clear page break between cases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Titles must include case numbering but remain diagnosis-neutral (e.g., "Case 2: Chest Discomfort in an Adult")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When Number of Cases &gt; 1, generate the specified number of fully independent cases according to the selected Case Generation Mode, without asking for clarification.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3  |  Source Data &amp; Usage Rules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Contextual Source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[Upload / paste lecture notes, handouts, guideline excerpts, or URLs here]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Source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[Uploaded  /  Pasted/Linked  /  None]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 Generation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[STRICTLY SOURCE-BOUND  /  CLINICALLY AUGMENTED]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Include a Red Herring?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ffd966" w:space="0" w:sz="4" w:val="single"/>
              <w:bottom w:color="ffd966" w:space="0" w:sz="4" w:val="single"/>
              <w:right w:color="ffd966" w:space="0" w:sz="4" w:val="single"/>
            </w:tcBorders>
            <w:shd w:fill="fff2cc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i w:val="1"/>
                <w:iCs w:val="1"/>
                <w:color w:val="8b6914"/>
                <w:sz w:val="18"/>
                <w:szCs w:val="18"/>
                <w:rtl w:val="0"/>
              </w:rPr>
              <w:t xml:space="preserve">[Yes  /  No]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D2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AI Instructions — Source &amp; Mode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17698207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sources are uploaded, pasted, or linked → treat as authoritative; follow selected Data Generation Mode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sdt>
              <w:sdtPr>
                <w:id w:val="-158852224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1f2937"/>
                    <w:sz w:val="19"/>
                    <w:szCs w:val="19"/>
                    <w:u w:val="none"/>
                    <w:shd w:fill="auto" w:val="clear"/>
                    <w:vertAlign w:val="baseline"/>
                    <w:rtl w:val="0"/>
                  </w:rPr>
                  <w:t xml:space="preserve">If no sources provided → limit content to widely accepted Clinical Practice Guidelines (ACC/AHA, GOLD, KDIGO), 2024+ preferred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STRICTLY SOURCE-BOUND: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Do not generate facts, labs, vitals, diagnoses, or dosages not explicitly present in the source. Flag missing data in brackets.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CLINICALLY AUGMENTED: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Generate realistic, internally consistent vitals, labs, and findings when absent, aligned with standard of care and physiologic norms.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Medication Dosage Rules: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Use only dosages explicitly stated in the source OR generate standard, evidence-based starting doses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Always state route of administration explicitly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4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2937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Avoid combination products unless explicitly requested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Red Herring: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If Diagnostic Data excludes labs or imaging, red herrings must arise from history or physical exam only.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4  |  Internal Logic &amp; Constraints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AI Instructions — DO NOT DISPLAY TO STUDENTS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Priority Logic: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Faculty Input Section overrides all other logic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Source Data &amp; Usage Rules override clinical 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Learner level and disciplines guide depth, terminology, and nuance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Exclusion Logic: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sdt>
        <w:sdtPr>
          <w:id w:val="-97645875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f2937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If Pharmacology = "None" → exclude all medications and treatment plans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sdt>
        <w:sdtPr>
          <w:id w:val="-156196133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f2937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If Diagnostic Data = "Physical exam only" or "No labs" → omit Section 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Clinical Fidelity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All generated data must be physiologically consistent (e.g., acidosis reflected in pH, PCO₂, and HCO₃⁻)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Severity of findings must match case complexity and clinical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Vital signs, labs, imaging, and exam findings must reflect the same stage of illness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Avoid mixing chronic compensations with acute findings unless explicitly intended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&amp; Tone: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Use precise medical terminology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Do NOT use subjective descriptors (e.g., "very common," "classic," "strongly suggests") unless present in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Maintain neutral, professional tone throughout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Blinding Constraint (Critical):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Do NOT reveal the diagnosis or condition name anywhere before Section G (The Reveal)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Case title and narrative must remain diagnosis-neutral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Avoid pathognomonic phrasing or hallmark descriptors (e.g., "currant jelly," "triad," "classic presentation")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Case title must not reference disease category, organ system, or syndrome name unless generic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Equity &amp; Bias Safeguards: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Ensure patient demographics are clinically relevant to case intent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Avoid race-, gender-, or socioeconomic-based 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Do not imply causation or prevalence based solely on demographic identity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5  |  Required Output Structure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18" w:val="single"/>
              <w:bottom w:color="bfbfbf" w:space="0" w:sz="6" w:val="single"/>
              <w:right w:color="bfbfbf" w:space="0" w:sz="4" w:val="single"/>
            </w:tcBorders>
            <w:shd w:fill="f2f2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Student-Facing &amp; Printable. Format for each case: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2200"/>
        <w:gridCol w:w="5960"/>
        <w:tblGridChange w:id="0">
          <w:tblGrid>
            <w:gridCol w:w="1200"/>
            <w:gridCol w:w="2200"/>
            <w:gridCol w:w="5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6" w:val="single"/>
              <w:left w:color="1f3864" w:space="0" w:sz="6" w:val="single"/>
              <w:bottom w:color="1f3864" w:space="0" w:sz="6" w:val="single"/>
              <w:right w:color="1f3864" w:space="0" w:sz="6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Disclaimer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Fictional educational case — not medical advice.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Diagnosis-neutral, professional title (include case number if applicable).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Patient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Continuous board-style narrative: chief complaint, HPI, relevant background.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Physical Exam &amp; Vital Signs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Standard documentation format. Expand only relevant systems. Include T, HR, BP, RR, SpO₂.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Diagnostic Results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Word table: Test / Result / Reference Range. Include labs, imaging, medications with doses (if permitted). Omit if Diagnostic Data excludes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Discussion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3–5 open-ended questions promoting clinical reasoning, data interpretation, and synthesis. Must include: one data interpretation, one prioritization, one pathophysiology question.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The Reveal (Faculty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Intended Diagnosis + 3–5 Teaching Points + 1–2 sentence Rationale.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bottom w:color="2e75b6" w:space="0" w:sz="4" w:val="single"/>
        </w:pBdr>
        <w:shd w:fill="2e75b6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6  |  Output Delivery Requirement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Generate the final output as a downloadable Microsoft Word (.docx)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sdt>
        <w:sdtPr>
          <w:id w:val="1516252970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f2937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Apply Word styles: Title → Heading 1; Section headings (A–G) → Heading 2; Body text → Normal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Use standard Word tables for Section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Do not include Markdown in the final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Output only the Word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bottom w:color="1f3864" w:space="0" w:sz="4" w:val="single"/>
        </w:pBdr>
        <w:shd w:fill="1f3864" w:val="clear"/>
        <w:spacing w:after="120" w:before="32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7  |  The Reveal  (Faculty Section — Clearly Delineated)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Intended Diagnosis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60" w:before="100" w:lineRule="auto"/>
        <w:ind w:left="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Teaching Points (3–5 bullets):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9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Explicitly linked to learning objectives, learner level, and source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9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Explicitly reference case findings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9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Reinforce learner-appropriate reasoning, not just facts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9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If no learning objectives were provided: focus on key diagnostic features, red flags, and standard-of-care principles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19"/>
          <w:szCs w:val="19"/>
          <w:u w:val="none"/>
          <w:shd w:fill="auto" w:val="clear"/>
          <w:vertAlign w:val="baseline"/>
          <w:rtl w:val="0"/>
        </w:rPr>
        <w:t xml:space="preserve">Rationale (1–2 sentences): concise explanation linking key findings to the diagnosis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2e75b6" w:space="0" w:sz="6" w:val="single"/>
          <w:left w:color="2e75b6" w:space="0" w:sz="6" w:val="single"/>
          <w:bottom w:color="2e75b6" w:space="0" w:sz="6" w:val="single"/>
          <w:right w:color="2e75b6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6" w:val="single"/>
              <w:left w:color="2e75b6" w:space="0" w:sz="18" w:val="single"/>
              <w:bottom w:color="2e75b6" w:space="0" w:sz="6" w:val="single"/>
              <w:right w:color="2e75b6" w:space="0" w:sz="4" w:val="single"/>
            </w:tcBorders>
            <w:shd w:fill="deeaf1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127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1"/>
                <w:szCs w:val="21"/>
                <w:rtl w:val="0"/>
              </w:rPr>
              <w:t xml:space="preserve">FINAL INSTRUCTION TO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Generate the clinical case(s) exactly as specified above. Acknowledge and follow all constraints, exclusions, blinding rules, and formatting requirements.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80" w:before="80" w:lineRule="auto"/>
        <w:rPr/>
      </w:pPr>
      <w:r w:rsidDel="00000000" w:rsidR="00000000" w:rsidRPr="00000000">
        <w:rPr>
          <w:b w:val="1"/>
          <w:bCs w:val="1"/>
          <w:color w:val="1f3864"/>
          <w:sz w:val="26"/>
          <w:szCs w:val="26"/>
          <w:rtl w:val="0"/>
        </w:rPr>
        <w:t xml:space="preserve">◀  PROMPT END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pBdr>
        <w:top w:color="bfbfbf" w:space="1" w:sz="4" w:val="single"/>
      </w:pBdr>
      <w:spacing w:before="80" w:lineRule="auto"/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9"/>
      <w:tblW w:w="10080.0" w:type="dxa"/>
      <w:jc w:val="left"/>
      <w:tblBorders>
        <w:top w:color="000000" w:space="0" w:sz="0" w:val="nil"/>
        <w:left w:color="000000" w:space="0" w:sz="0" w:val="nil"/>
        <w:bottom w:color="2e75b6" w:space="0" w:sz="6" w:val="single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7000"/>
      <w:gridCol w:w="3080"/>
      <w:tblGridChange w:id="0">
        <w:tblGrid>
          <w:gridCol w:w="7000"/>
          <w:gridCol w:w="308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B">
          <w:pPr>
            <w:rPr/>
          </w:pPr>
          <w:r w:rsidDel="00000000" w:rsidR="00000000" w:rsidRPr="00000000">
            <w:rPr>
              <w:b w:val="1"/>
              <w:bCs w:val="1"/>
              <w:color w:val="1f3864"/>
              <w:sz w:val="18"/>
              <w:szCs w:val="18"/>
              <w:rtl w:val="0"/>
            </w:rPr>
            <w:t xml:space="preserve">Clinical Case Generator Prompt Guide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C">
          <w:pPr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◦"/>
      <w:lvlJc w:val="left"/>
      <w:pPr>
        <w:ind w:left="90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f2937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293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0.0" w:type="dxa"/>
        <w:left w:w="10.0" w:type="dxa"/>
        <w:bottom w:w="8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MzOp0GInE0iRQROj5PZjuzwYA==">CgMxLjAaJAoBMBIfCh0IB0IZCgVBcmlhbBIQQXJpYWwgVW5pY29kZSBNUxokCgExEh8KHQgHQhkKBUFyaWFsEhBBcmlhbCBVbmljb2RlIE1TGiQKATISHwodCAdCGQoFQXJpYWwSEEFyaWFsIFVuaWNvZGUgTVMaHQoBMxIYChYIB0ISEhBBcmlhbCBVbmljb2RlIE1TGiQKATQSHwodCAdCGQoFQXJpYWwSEEFyaWFsIFVuaWNvZGUgTVMaJAoBNRIfCh0IB0IZCgVBcmlhbBIQQXJpYWwgVW5pY29kZSBNUxokCgE2Eh8KHQgHQhkKBUFyaWFsEhBBcmlhbCBVbmljb2RlIE1TGiQKATcSHwodCAdCGQoFQXJpYWwSEEFyaWFsIFVuaWNvZGUgTVMaHQoBOBIYChYIB0IS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4AHIhMUMydnFSeUNhR1VRNDl6SmhaN1pxaGhqZHdlVGpSb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